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9"/>
        <w:gridCol w:w="4111"/>
        <w:gridCol w:w="4678"/>
      </w:tblGrid>
      <w:tr w:rsidR="006D655E" w:rsidRPr="0044538D" w:rsidTr="000710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rPr>
                <w:rFonts w:asciiTheme="majorHAnsi" w:hAnsiTheme="majorHAnsi"/>
                <w:bCs/>
                <w:sz w:val="20"/>
                <w:szCs w:val="28"/>
              </w:rPr>
            </w:pPr>
            <w:r w:rsidRPr="0044538D">
              <w:rPr>
                <w:rFonts w:asciiTheme="majorHAnsi" w:hAnsiTheme="majorHAnsi"/>
                <w:bCs/>
                <w:noProof/>
                <w:sz w:val="20"/>
                <w:szCs w:val="28"/>
                <w:lang w:val="id-ID" w:eastAsia="id-ID"/>
              </w:rPr>
              <w:drawing>
                <wp:inline distT="0" distB="0" distL="0" distR="0" wp14:anchorId="5B7F44F1" wp14:editId="3C84A65F">
                  <wp:extent cx="882503" cy="839972"/>
                  <wp:effectExtent l="0" t="0" r="0" b="0"/>
                  <wp:docPr id="1" name="Picture 1" descr="C:\Users\HP\Downloads\WhatsApp Image 2018-01-06 at 5.29.1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WhatsApp Image 2018-01-06 at 5.29.1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8" cy="84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38D">
              <w:rPr>
                <w:rFonts w:asciiTheme="majorHAnsi" w:hAnsiTheme="majorHAns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26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655E" w:rsidRPr="0044538D" w:rsidRDefault="006D655E" w:rsidP="00071007">
            <w:pPr>
              <w:rPr>
                <w:rFonts w:asciiTheme="majorHAnsi" w:hAnsiTheme="majorHAnsi"/>
                <w:b/>
                <w:bCs/>
                <w:sz w:val="32"/>
                <w:szCs w:val="18"/>
              </w:rPr>
            </w:pPr>
            <w:r w:rsidRPr="0044538D">
              <w:rPr>
                <w:rFonts w:asciiTheme="majorHAnsi" w:hAnsiTheme="majorHAnsi"/>
                <w:b/>
                <w:bCs/>
                <w:sz w:val="32"/>
                <w:szCs w:val="18"/>
              </w:rPr>
              <w:t>INSTITUT KEGURUAN  DAN ILMU PENDIDIKAN SILIWANGI (IKIP SILIWANGI)</w:t>
            </w:r>
          </w:p>
          <w:p w:rsidR="006D655E" w:rsidRPr="0044538D" w:rsidRDefault="006D655E" w:rsidP="00071007">
            <w:pPr>
              <w:rPr>
                <w:rFonts w:asciiTheme="majorHAnsi" w:hAnsiTheme="majorHAnsi"/>
                <w:b/>
                <w:bCs/>
                <w:sz w:val="32"/>
                <w:szCs w:val="18"/>
              </w:rPr>
            </w:pPr>
            <w:r w:rsidRPr="0044538D">
              <w:rPr>
                <w:rFonts w:asciiTheme="majorHAnsi" w:hAnsiTheme="majorHAnsi"/>
                <w:b/>
                <w:bCs/>
                <w:sz w:val="32"/>
                <w:szCs w:val="18"/>
              </w:rPr>
              <w:t>FAKULTAS ILMU PENDIDIKAN</w:t>
            </w:r>
          </w:p>
          <w:p w:rsidR="006D655E" w:rsidRPr="0044538D" w:rsidRDefault="006D655E" w:rsidP="00071007">
            <w:pPr>
              <w:rPr>
                <w:rFonts w:asciiTheme="majorHAnsi" w:hAnsiTheme="majorHAnsi"/>
                <w:bCs/>
                <w:szCs w:val="18"/>
              </w:rPr>
            </w:pPr>
          </w:p>
          <w:p w:rsidR="006D655E" w:rsidRPr="00BA6663" w:rsidRDefault="006D655E" w:rsidP="00071007">
            <w:pP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</w:pPr>
            <w:r w:rsidRPr="0044538D">
              <w:rPr>
                <w:rFonts w:asciiTheme="majorHAnsi" w:hAnsiTheme="majorHAnsi"/>
                <w:b/>
                <w:bCs/>
                <w:sz w:val="32"/>
                <w:szCs w:val="18"/>
              </w:rPr>
              <w:t>PROGR</w:t>
            </w:r>
            <w:r>
              <w:rPr>
                <w:rFonts w:asciiTheme="majorHAnsi" w:hAnsiTheme="majorHAnsi"/>
                <w:b/>
                <w:bCs/>
                <w:sz w:val="32"/>
                <w:szCs w:val="18"/>
              </w:rPr>
              <w:t xml:space="preserve">AM STUDI </w:t>
            </w:r>
            <w:r>
              <w:rPr>
                <w:rFonts w:asciiTheme="majorHAnsi" w:hAnsiTheme="majorHAnsi"/>
                <w:b/>
                <w:bCs/>
                <w:sz w:val="32"/>
                <w:szCs w:val="18"/>
                <w:lang w:val="id-ID"/>
              </w:rPr>
              <w:t>PENDIDIKAN GURU SEKOLAH DASAR</w:t>
            </w:r>
          </w:p>
        </w:tc>
      </w:tr>
      <w:tr w:rsidR="006D655E" w:rsidRPr="0044538D" w:rsidTr="00071007">
        <w:trPr>
          <w:trHeight w:val="428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4538D">
              <w:rPr>
                <w:rFonts w:asciiTheme="majorHAnsi" w:hAnsiTheme="majorHAnsi"/>
                <w:b/>
                <w:bCs/>
                <w:sz w:val="32"/>
                <w:szCs w:val="18"/>
              </w:rPr>
              <w:t>RENCANA PEMBELAJARAN SEMESTER</w:t>
            </w:r>
          </w:p>
        </w:tc>
      </w:tr>
      <w:tr w:rsidR="006D655E" w:rsidRPr="0044538D" w:rsidTr="00071007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44538D">
              <w:rPr>
                <w:rFonts w:asciiTheme="majorHAnsi" w:hAnsiTheme="majorHAnsi"/>
                <w:b/>
                <w:bCs/>
                <w:sz w:val="20"/>
                <w:szCs w:val="18"/>
              </w:rPr>
              <w:t>MATA KULIAH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nb-NO"/>
              </w:rPr>
            </w:pPr>
            <w:r w:rsidRPr="0044538D">
              <w:rPr>
                <w:rFonts w:asciiTheme="majorHAnsi" w:hAnsiTheme="majorHAnsi"/>
                <w:b/>
                <w:sz w:val="18"/>
                <w:szCs w:val="18"/>
                <w:lang w:val="nb-NO"/>
              </w:rPr>
              <w:t>KODE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538D">
              <w:rPr>
                <w:rFonts w:asciiTheme="majorHAnsi" w:hAnsiTheme="majorHAnsi"/>
                <w:b/>
                <w:sz w:val="18"/>
                <w:szCs w:val="18"/>
              </w:rPr>
              <w:t>BOBOT (SKS)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color w:val="BFBFBF"/>
                <w:sz w:val="18"/>
                <w:szCs w:val="18"/>
              </w:rPr>
            </w:pPr>
            <w:r w:rsidRPr="0044538D">
              <w:rPr>
                <w:rFonts w:asciiTheme="majorHAnsi" w:eastAsia="Calibr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color w:val="BFBFBF"/>
                <w:sz w:val="18"/>
                <w:szCs w:val="18"/>
              </w:rPr>
            </w:pPr>
            <w:r w:rsidRPr="0044538D">
              <w:rPr>
                <w:rFonts w:asciiTheme="majorHAnsi" w:hAnsiTheme="majorHAnsi"/>
                <w:b/>
                <w:sz w:val="18"/>
                <w:szCs w:val="18"/>
              </w:rPr>
              <w:t>TANGGAL PENYUSUNAN</w:t>
            </w:r>
          </w:p>
        </w:tc>
      </w:tr>
      <w:tr w:rsidR="006D655E" w:rsidRPr="0044538D" w:rsidTr="00071007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E" w:rsidRPr="00BA6663" w:rsidRDefault="00E00A83" w:rsidP="00071007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8"/>
                <w:lang w:val="id-ID"/>
              </w:rPr>
              <w:t>PENDIDIKAN SENI MUSIK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FB5B35" w:rsidRDefault="00E00A83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4206622442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53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9179FA" w:rsidRDefault="00CD3F90" w:rsidP="00071007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eastAsia="Calibri" w:hAnsiTheme="majorHAnsi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E" w:rsidRPr="00FB5B35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 </w:t>
            </w:r>
            <w:r w:rsidR="00A94AEE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 xml:space="preserve">Februari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A94AEE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8</w:t>
            </w:r>
          </w:p>
        </w:tc>
      </w:tr>
      <w:tr w:rsidR="006D655E" w:rsidRPr="0044538D" w:rsidTr="00071007">
        <w:trPr>
          <w:gridAfter w:val="4"/>
          <w:wAfter w:w="12617" w:type="dxa"/>
          <w:trHeight w:val="2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</w:tr>
      <w:tr w:rsidR="006D655E" w:rsidRPr="0044538D" w:rsidTr="00071007">
        <w:trPr>
          <w:trHeight w:val="4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6D655E" w:rsidRPr="00042C55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Koordinator Pengembang RPS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D655E" w:rsidRPr="00042C55" w:rsidRDefault="006D655E" w:rsidP="00071007">
            <w:pPr>
              <w:jc w:val="center"/>
              <w:rPr>
                <w:rFonts w:asciiTheme="majorHAnsi" w:hAnsiTheme="majorHAnsi"/>
                <w:b/>
                <w:sz w:val="16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6"/>
                <w:szCs w:val="18"/>
                <w:lang w:val="id-ID"/>
              </w:rPr>
              <w:t>Koordinator Bidang Keahlian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6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jc w:val="center"/>
              <w:rPr>
                <w:rFonts w:asciiTheme="majorHAnsi" w:hAnsiTheme="majorHAnsi"/>
                <w:b/>
                <w:sz w:val="16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6"/>
                <w:szCs w:val="18"/>
                <w:lang w:val="id-ID"/>
              </w:rPr>
              <w:t>Ketua Program Studi PGSD</w:t>
            </w:r>
          </w:p>
        </w:tc>
      </w:tr>
      <w:tr w:rsidR="006D655E" w:rsidRPr="0044538D" w:rsidTr="00071007">
        <w:trPr>
          <w:trHeight w:val="25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5E" w:rsidRPr="0044538D" w:rsidRDefault="006D655E" w:rsidP="00071007">
            <w:pPr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3828" w:type="dxa"/>
            <w:gridSpan w:val="2"/>
          </w:tcPr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Ruli Setiyadi, M.Pd.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Dr. H. Heris Hendriana, M.Pd.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</w:p>
          <w:p w:rsidR="006D655E" w:rsidRPr="00042C55" w:rsidRDefault="006D655E" w:rsidP="00071007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Prof. Jozua Sabandar, Ph.D.</w:t>
            </w:r>
          </w:p>
        </w:tc>
      </w:tr>
    </w:tbl>
    <w:p w:rsidR="006D655E" w:rsidRDefault="006D655E" w:rsidP="00FB5B35">
      <w:pPr>
        <w:rPr>
          <w:rFonts w:asciiTheme="majorHAnsi" w:hAnsiTheme="majorHAnsi"/>
          <w:bCs/>
          <w:sz w:val="4"/>
          <w:szCs w:val="28"/>
          <w:lang w:val="id-ID"/>
        </w:rPr>
      </w:pPr>
    </w:p>
    <w:p w:rsidR="006D655E" w:rsidRPr="006D655E" w:rsidRDefault="006D655E" w:rsidP="00FB5B35">
      <w:pPr>
        <w:rPr>
          <w:rFonts w:asciiTheme="majorHAnsi" w:hAnsiTheme="majorHAnsi"/>
          <w:bCs/>
          <w:sz w:val="4"/>
          <w:szCs w:val="28"/>
          <w:lang w:val="id-ID"/>
        </w:rPr>
      </w:pPr>
    </w:p>
    <w:p w:rsidR="00FB5B35" w:rsidRPr="0044538D" w:rsidRDefault="00FB5B35" w:rsidP="00FB5B35">
      <w:pPr>
        <w:rPr>
          <w:rFonts w:asciiTheme="majorHAnsi" w:hAnsiTheme="majorHAnsi"/>
          <w:b/>
          <w:bCs/>
          <w:sz w:val="2"/>
          <w:szCs w:val="28"/>
        </w:rPr>
      </w:pPr>
    </w:p>
    <w:p w:rsidR="00FB5B35" w:rsidRPr="0044538D" w:rsidRDefault="00FB5B35" w:rsidP="00FB5B35">
      <w:pPr>
        <w:rPr>
          <w:rFonts w:asciiTheme="majorHAnsi" w:hAnsiTheme="majorHAnsi"/>
          <w:b/>
          <w:bCs/>
          <w:sz w:val="2"/>
          <w:szCs w:val="28"/>
        </w:rPr>
      </w:pPr>
    </w:p>
    <w:p w:rsidR="00FB5B35" w:rsidRPr="0044538D" w:rsidRDefault="00FB5B35" w:rsidP="00FB5B35">
      <w:pPr>
        <w:numPr>
          <w:ilvl w:val="0"/>
          <w:numId w:val="1"/>
        </w:numPr>
        <w:shd w:val="clear" w:color="auto" w:fill="0000FF"/>
        <w:spacing w:after="120"/>
        <w:rPr>
          <w:rFonts w:asciiTheme="majorHAnsi" w:hAnsiTheme="majorHAnsi"/>
          <w:b/>
          <w:bCs/>
        </w:rPr>
      </w:pPr>
      <w:r w:rsidRPr="0044538D">
        <w:rPr>
          <w:rFonts w:asciiTheme="majorHAnsi" w:hAnsiTheme="majorHAnsi"/>
          <w:b/>
          <w:bCs/>
        </w:rPr>
        <w:t>IDENTITAS MATA KULIAH</w:t>
      </w:r>
    </w:p>
    <w:tbl>
      <w:tblPr>
        <w:tblW w:w="143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0744"/>
      </w:tblGrid>
      <w:tr w:rsidR="00FB5B35" w:rsidRPr="0044538D" w:rsidTr="00F3359C">
        <w:trPr>
          <w:trHeight w:val="135"/>
        </w:trPr>
        <w:tc>
          <w:tcPr>
            <w:tcW w:w="35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</w:rPr>
            </w:pPr>
            <w:proofErr w:type="spellStart"/>
            <w:r w:rsidRPr="0044538D">
              <w:rPr>
                <w:rFonts w:asciiTheme="majorHAnsi" w:hAnsiTheme="majorHAnsi"/>
              </w:rPr>
              <w:t>Nama</w:t>
            </w:r>
            <w:proofErr w:type="spellEnd"/>
            <w:r w:rsidRPr="0044538D">
              <w:rPr>
                <w:rFonts w:asciiTheme="majorHAnsi" w:hAnsiTheme="majorHAnsi"/>
              </w:rPr>
              <w:t xml:space="preserve"> Mata</w:t>
            </w:r>
            <w:r w:rsidRPr="0044538D">
              <w:rPr>
                <w:rFonts w:asciiTheme="majorHAnsi" w:hAnsiTheme="majorHAnsi"/>
                <w:lang w:val="en-ID"/>
              </w:rPr>
              <w:t xml:space="preserve"> </w:t>
            </w:r>
            <w:proofErr w:type="spellStart"/>
            <w:r w:rsidRPr="0044538D">
              <w:rPr>
                <w:rFonts w:asciiTheme="majorHAnsi" w:hAnsiTheme="majorHAnsi"/>
                <w:lang w:val="en-ID"/>
              </w:rPr>
              <w:t>Kuliah</w:t>
            </w:r>
            <w:proofErr w:type="spellEnd"/>
          </w:p>
        </w:tc>
        <w:tc>
          <w:tcPr>
            <w:tcW w:w="107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B35" w:rsidRPr="00BA6663" w:rsidRDefault="00FB5B35" w:rsidP="00F3359C">
            <w:pPr>
              <w:tabs>
                <w:tab w:val="num" w:pos="-1440"/>
                <w:tab w:val="left" w:pos="30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  <w:lang w:val="id-ID"/>
              </w:rPr>
              <w:t>endidikan Seni Musik</w:t>
            </w:r>
          </w:p>
        </w:tc>
      </w:tr>
      <w:tr w:rsidR="00FB5B35" w:rsidRPr="0044538D" w:rsidTr="00F3359C">
        <w:trPr>
          <w:trHeight w:val="299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nb-NO"/>
              </w:rPr>
            </w:pPr>
            <w:proofErr w:type="spellStart"/>
            <w:r w:rsidRPr="0044538D">
              <w:rPr>
                <w:rFonts w:asciiTheme="majorHAnsi" w:hAnsiTheme="majorHAnsi"/>
              </w:rPr>
              <w:t>Kode</w:t>
            </w:r>
            <w:proofErr w:type="spellEnd"/>
            <w:r w:rsidRPr="0044538D">
              <w:rPr>
                <w:rFonts w:asciiTheme="majorHAnsi" w:hAnsiTheme="majorHAnsi"/>
              </w:rPr>
              <w:t xml:space="preserve"> Mata </w:t>
            </w:r>
            <w:proofErr w:type="spellStart"/>
            <w:r w:rsidRPr="0044538D">
              <w:rPr>
                <w:rFonts w:asciiTheme="majorHAnsi" w:hAnsiTheme="majorHAnsi"/>
              </w:rPr>
              <w:t>Kuliah</w:t>
            </w:r>
            <w:proofErr w:type="spellEnd"/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FB5B35" w:rsidRDefault="00FB5B35" w:rsidP="00F3359C">
            <w:pPr>
              <w:tabs>
                <w:tab w:val="num" w:pos="-1440"/>
                <w:tab w:val="left" w:pos="30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4206622442</w:t>
            </w:r>
          </w:p>
        </w:tc>
      </w:tr>
      <w:tr w:rsidR="00FB5B35" w:rsidRPr="0044538D" w:rsidTr="00F3359C">
        <w:trPr>
          <w:trHeight w:val="282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nb-NO"/>
              </w:rPr>
            </w:pPr>
            <w:proofErr w:type="spellStart"/>
            <w:r w:rsidRPr="0044538D">
              <w:rPr>
                <w:rFonts w:asciiTheme="majorHAnsi" w:hAnsiTheme="majorHAnsi"/>
              </w:rPr>
              <w:t>Beban</w:t>
            </w:r>
            <w:proofErr w:type="spellEnd"/>
            <w:r w:rsidRPr="0044538D">
              <w:rPr>
                <w:rFonts w:asciiTheme="majorHAnsi" w:hAnsiTheme="majorHAnsi"/>
              </w:rPr>
              <w:t xml:space="preserve"> </w:t>
            </w:r>
            <w:proofErr w:type="spellStart"/>
            <w:r w:rsidRPr="0044538D">
              <w:rPr>
                <w:rFonts w:asciiTheme="majorHAnsi" w:hAnsiTheme="majorHAnsi"/>
              </w:rPr>
              <w:t>Studi</w:t>
            </w:r>
            <w:proofErr w:type="spellEnd"/>
            <w:r w:rsidRPr="0044538D">
              <w:rPr>
                <w:rFonts w:asciiTheme="majorHAnsi" w:hAnsiTheme="majorHAnsi"/>
              </w:rPr>
              <w:t xml:space="preserve"> (</w:t>
            </w:r>
            <w:proofErr w:type="spellStart"/>
            <w:r w:rsidRPr="0044538D">
              <w:rPr>
                <w:rFonts w:asciiTheme="majorHAnsi" w:hAnsiTheme="majorHAnsi"/>
              </w:rPr>
              <w:t>sks</w:t>
            </w:r>
            <w:proofErr w:type="spellEnd"/>
            <w:r w:rsidRPr="0044538D">
              <w:rPr>
                <w:rFonts w:asciiTheme="majorHAnsi" w:hAnsiTheme="majorHAnsi"/>
              </w:rPr>
              <w:t>)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44538D" w:rsidRDefault="00FB5B35" w:rsidP="00F3359C">
            <w:pPr>
              <w:tabs>
                <w:tab w:val="num" w:pos="-1440"/>
                <w:tab w:val="left" w:pos="3060"/>
              </w:tabs>
              <w:rPr>
                <w:rFonts w:asciiTheme="majorHAnsi" w:hAnsiTheme="majorHAnsi"/>
              </w:rPr>
            </w:pPr>
            <w:r w:rsidRPr="0044538D">
              <w:rPr>
                <w:rFonts w:asciiTheme="majorHAnsi" w:hAnsiTheme="majorHAnsi"/>
              </w:rPr>
              <w:t>2 SKS</w:t>
            </w:r>
          </w:p>
        </w:tc>
      </w:tr>
      <w:tr w:rsidR="00FB5B35" w:rsidRPr="0044538D" w:rsidTr="00F3359C">
        <w:trPr>
          <w:trHeight w:val="7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nb-NO"/>
              </w:rPr>
            </w:pPr>
            <w:r w:rsidRPr="0044538D">
              <w:rPr>
                <w:rFonts w:asciiTheme="majorHAnsi" w:hAnsiTheme="majorHAnsi"/>
              </w:rPr>
              <w:t>Semester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44538D" w:rsidRDefault="00CD3F90" w:rsidP="00F3359C">
            <w:pPr>
              <w:tabs>
                <w:tab w:val="num" w:pos="-1440"/>
                <w:tab w:val="left" w:pos="30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4</w:t>
            </w:r>
          </w:p>
        </w:tc>
      </w:tr>
      <w:tr w:rsidR="00FB5B35" w:rsidRPr="0044538D" w:rsidTr="00F3359C">
        <w:trPr>
          <w:trHeight w:val="7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id-ID"/>
              </w:rPr>
            </w:pPr>
            <w:r w:rsidRPr="0044538D">
              <w:rPr>
                <w:rFonts w:asciiTheme="majorHAnsi" w:hAnsiTheme="majorHAnsi"/>
                <w:lang w:val="id-ID"/>
              </w:rPr>
              <w:t>Jurusan/Prodi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BA6663" w:rsidRDefault="00FB5B35" w:rsidP="00F3359C">
            <w:pPr>
              <w:tabs>
                <w:tab w:val="num" w:pos="-1440"/>
                <w:tab w:val="left" w:pos="30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Pendidikan Guru Sekolah Dasar</w:t>
            </w:r>
          </w:p>
        </w:tc>
      </w:tr>
      <w:tr w:rsidR="00B82DE7" w:rsidRPr="0044538D" w:rsidTr="00F3359C">
        <w:trPr>
          <w:trHeight w:val="7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E7" w:rsidRPr="0044538D" w:rsidRDefault="00B82DE7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id-ID"/>
              </w:rPr>
            </w:pPr>
            <w:bookmarkStart w:id="0" w:name="_GoBack" w:colFirst="1" w:colLast="1"/>
            <w:proofErr w:type="spellStart"/>
            <w:r w:rsidRPr="0044538D">
              <w:rPr>
                <w:rFonts w:asciiTheme="majorHAnsi" w:hAnsiTheme="majorHAnsi"/>
              </w:rPr>
              <w:t>Capaian</w:t>
            </w:r>
            <w:proofErr w:type="spellEnd"/>
            <w:r w:rsidRPr="0044538D">
              <w:rPr>
                <w:rFonts w:asciiTheme="majorHAnsi" w:hAnsiTheme="majorHAnsi"/>
              </w:rPr>
              <w:t xml:space="preserve"> </w:t>
            </w:r>
            <w:proofErr w:type="spellStart"/>
            <w:r w:rsidRPr="0044538D">
              <w:rPr>
                <w:rFonts w:asciiTheme="majorHAnsi" w:hAnsiTheme="majorHAnsi"/>
              </w:rPr>
              <w:t>Pembelajaran</w:t>
            </w:r>
            <w:proofErr w:type="spellEnd"/>
            <w:r w:rsidRPr="0044538D">
              <w:rPr>
                <w:rFonts w:asciiTheme="majorHAnsi" w:hAnsiTheme="majorHAnsi"/>
              </w:rPr>
              <w:t xml:space="preserve"> </w:t>
            </w:r>
            <w:proofErr w:type="spellStart"/>
            <w:r w:rsidRPr="0044538D">
              <w:rPr>
                <w:rFonts w:asciiTheme="majorHAnsi" w:hAnsiTheme="majorHAnsi"/>
              </w:rPr>
              <w:t>Lulusan</w:t>
            </w:r>
            <w:proofErr w:type="spellEnd"/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t xml:space="preserve">CP-PPA: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menguasai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struktur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materi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pola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pikir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keilmuan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yang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diperlukan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melaksanakan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layanan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satuan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menengah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serta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studi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ke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jenjang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berikutnya</w:t>
            </w:r>
            <w:proofErr w:type="spellEnd"/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t xml:space="preserve">CP-PPB: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Menguasai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prinsip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pedagogi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didaktik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mendukung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tugas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profesionalnya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sebagai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guru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sekolah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lastRenderedPageBreak/>
              <w:t xml:space="preserve">CP-KUA: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mengaplikasikan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prinsip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pedagogi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didaktik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bidang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sekolah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keilmuan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melakukan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perencanaan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pengelolaan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implementasi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evaluasi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dalam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bidang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yang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inovatif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dengan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memanfaatkan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ipteks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yang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berorientasi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pada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kecakapan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hidup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(life skills)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entrepreneurship</w:t>
            </w:r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t xml:space="preserve">CP-KUB: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merancang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melaksanakan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penelitian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mempublikasikan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hasilnya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sehingga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dapat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digunakan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sebagai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alternatif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penyelesaian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masalah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bidang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sekolah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t xml:space="preserve">CP-KKA: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mengaplikasikan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prinsip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pedagogi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didaktik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bidang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sekolah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keilmuan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melakukan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perencanaan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pengelolaan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implementasi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evaluasi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pelatihan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(training) yang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inovatif</w:t>
            </w:r>
            <w:proofErr w:type="spellEnd"/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</w:rPr>
            </w:pPr>
            <w:r w:rsidRPr="00F33FF5">
              <w:rPr>
                <w:rFonts w:asciiTheme="majorHAnsi" w:hAnsiTheme="majorHAnsi" w:cs="Calibri"/>
                <w:color w:val="000000"/>
              </w:rPr>
              <w:t xml:space="preserve">CP-KKB: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merancang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melaksanakan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penelitian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mempublikasikan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hasilnya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sehingga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dapat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digunakan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sebagai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alternatif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penyelesaian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masalah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di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bidang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sekolah</w:t>
            </w:r>
            <w:proofErr w:type="spellEnd"/>
            <w:r w:rsidRPr="00F33FF5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F33FF5"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</w:p>
          <w:p w:rsidR="00B82DE7" w:rsidRPr="00F33FF5" w:rsidRDefault="00B82DE7" w:rsidP="008F1CBF">
            <w:pPr>
              <w:rPr>
                <w:rFonts w:asciiTheme="majorHAnsi" w:hAnsiTheme="majorHAnsi" w:cs="Calibri"/>
                <w:color w:val="000000"/>
                <w:lang w:val="id-ID"/>
              </w:rPr>
            </w:pPr>
          </w:p>
        </w:tc>
      </w:tr>
      <w:bookmarkEnd w:id="0"/>
      <w:tr w:rsidR="006D655E" w:rsidRPr="0044538D" w:rsidTr="00F3359C">
        <w:trPr>
          <w:trHeight w:val="102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55E" w:rsidRPr="0044538D" w:rsidRDefault="006D655E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</w:rPr>
            </w:pPr>
            <w:proofErr w:type="spellStart"/>
            <w:r w:rsidRPr="0044538D">
              <w:rPr>
                <w:rFonts w:asciiTheme="majorHAnsi" w:hAnsiTheme="majorHAnsi"/>
              </w:rPr>
              <w:lastRenderedPageBreak/>
              <w:t>Capaian</w:t>
            </w:r>
            <w:proofErr w:type="spellEnd"/>
            <w:r w:rsidRPr="0044538D">
              <w:rPr>
                <w:rFonts w:asciiTheme="majorHAnsi" w:hAnsiTheme="majorHAnsi"/>
              </w:rPr>
              <w:t xml:space="preserve"> </w:t>
            </w:r>
            <w:proofErr w:type="spellStart"/>
            <w:r w:rsidRPr="0044538D">
              <w:rPr>
                <w:rFonts w:asciiTheme="majorHAnsi" w:hAnsiTheme="majorHAnsi"/>
              </w:rPr>
              <w:t>Pembelajaran</w:t>
            </w:r>
            <w:proofErr w:type="spellEnd"/>
            <w:r w:rsidRPr="0044538D">
              <w:rPr>
                <w:rFonts w:asciiTheme="majorHAnsi" w:hAnsiTheme="majorHAnsi"/>
              </w:rPr>
              <w:t xml:space="preserve"> Mata </w:t>
            </w:r>
            <w:proofErr w:type="spellStart"/>
            <w:r w:rsidRPr="0044538D">
              <w:rPr>
                <w:rFonts w:asciiTheme="majorHAnsi" w:hAnsiTheme="majorHAnsi"/>
              </w:rPr>
              <w:t>Kuliah</w:t>
            </w:r>
            <w:proofErr w:type="spellEnd"/>
            <w:r w:rsidRPr="0044538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6D655E" w:rsidRPr="006D655E" w:rsidRDefault="006D655E" w:rsidP="000710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B8084D">
              <w:rPr>
                <w:rFonts w:asciiTheme="majorHAnsi" w:hAnsiTheme="majorHAnsi" w:cs="Tahoma"/>
                <w:color w:val="000000"/>
                <w:lang w:val="id-ID"/>
              </w:rPr>
              <w:t>CPMK 1</w:t>
            </w:r>
            <w:r w:rsidRPr="00B8084D">
              <w:rPr>
                <w:rFonts w:asciiTheme="majorHAnsi" w:hAnsiTheme="majorHAnsi" w:cs="Tahoma"/>
                <w:b/>
                <w:color w:val="000000"/>
                <w:lang w:val="id-ID"/>
              </w:rPr>
              <w:t xml:space="preserve"> :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menguasai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tentang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dasar</w:t>
            </w:r>
            <w:proofErr w:type="spellEnd"/>
            <w:r>
              <w:rPr>
                <w:rFonts w:asciiTheme="majorHAnsi" w:hAnsiTheme="majorHAnsi" w:cs="Calibri"/>
                <w:color w:val="000000"/>
                <w:lang w:val="id-ID"/>
              </w:rPr>
              <w:t xml:space="preserve"> seni musik</w:t>
            </w:r>
          </w:p>
          <w:p w:rsidR="006D655E" w:rsidRPr="006D655E" w:rsidRDefault="006D655E" w:rsidP="000710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B8084D">
              <w:rPr>
                <w:rFonts w:asciiTheme="majorHAnsi" w:hAnsiTheme="majorHAnsi" w:cs="Calibri"/>
                <w:color w:val="000000"/>
                <w:lang w:val="id-ID"/>
              </w:rPr>
              <w:t xml:space="preserve">CPMK 2 :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mengaplikasikan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konsep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lang w:val="id-ID"/>
              </w:rPr>
              <w:t>seni musik di sekolah dasar</w:t>
            </w:r>
          </w:p>
          <w:p w:rsidR="006D655E" w:rsidRPr="006D655E" w:rsidRDefault="006D655E" w:rsidP="000710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 w:rsidRPr="00B8084D">
              <w:rPr>
                <w:rFonts w:asciiTheme="majorHAnsi" w:hAnsiTheme="majorHAnsi" w:cs="Calibri"/>
                <w:color w:val="000000"/>
                <w:lang w:val="id-ID"/>
              </w:rPr>
              <w:t xml:space="preserve">CPMK 3 :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menguasai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perkembangan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lang w:val="id-ID"/>
              </w:rPr>
              <w:t>seni musik</w:t>
            </w:r>
          </w:p>
          <w:p w:rsidR="006D655E" w:rsidRPr="006D655E" w:rsidRDefault="006D655E" w:rsidP="006D65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 xml:space="preserve">CPMK 4 </w:t>
            </w:r>
            <w:r w:rsidRPr="00B8084D">
              <w:rPr>
                <w:rFonts w:asciiTheme="majorHAnsi" w:hAnsiTheme="majorHAnsi" w:cs="Calibri"/>
                <w:color w:val="000000"/>
                <w:lang w:val="id-ID"/>
              </w:rPr>
              <w:t xml:space="preserve">: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Mampu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mengaplikasikan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perkembangan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lang w:val="id-ID"/>
              </w:rPr>
              <w:t xml:space="preserve">seni musik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dalam</w:t>
            </w:r>
            <w:proofErr w:type="spellEnd"/>
            <w:r w:rsidRPr="00B8084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B8084D">
              <w:rPr>
                <w:rFonts w:asciiTheme="majorHAnsi" w:hAnsiTheme="majorHAnsi" w:cs="Calibri"/>
                <w:color w:val="000000"/>
              </w:rPr>
              <w:t>kehidu</w:t>
            </w:r>
            <w:r>
              <w:rPr>
                <w:rFonts w:asciiTheme="majorHAnsi" w:hAnsiTheme="majorHAnsi" w:cs="Calibri"/>
                <w:color w:val="000000"/>
              </w:rPr>
              <w:t>pan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khususnya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dunia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pendidikan</w:t>
            </w:r>
            <w:proofErr w:type="spellEnd"/>
          </w:p>
        </w:tc>
      </w:tr>
      <w:tr w:rsidR="00FB5B35" w:rsidRPr="0044538D" w:rsidTr="00F3359C">
        <w:trPr>
          <w:trHeight w:val="7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</w:rPr>
            </w:pPr>
            <w:r w:rsidRPr="0044538D">
              <w:rPr>
                <w:rFonts w:asciiTheme="majorHAnsi" w:hAnsiTheme="majorHAnsi"/>
                <w:lang w:val="fi-FI"/>
              </w:rPr>
              <w:t>Deskripsi Mata Kuliah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44538D" w:rsidRDefault="00FB5B35" w:rsidP="0023025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lang w:val="id-ID"/>
              </w:rPr>
            </w:pPr>
            <w:r w:rsidRPr="0044538D">
              <w:rPr>
                <w:rFonts w:asciiTheme="majorHAnsi" w:hAnsiTheme="majorHAnsi" w:cs="Tahoma"/>
                <w:color w:val="000000"/>
              </w:rPr>
              <w:t xml:space="preserve">Mata </w:t>
            </w:r>
            <w:proofErr w:type="spellStart"/>
            <w:r w:rsidRPr="0044538D">
              <w:rPr>
                <w:rFonts w:asciiTheme="majorHAnsi" w:hAnsiTheme="majorHAnsi" w:cs="Tahoma"/>
                <w:color w:val="000000"/>
              </w:rPr>
              <w:t>kuliah</w:t>
            </w:r>
            <w:proofErr w:type="spellEnd"/>
            <w:r w:rsidRPr="0044538D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44538D">
              <w:rPr>
                <w:rFonts w:asciiTheme="majorHAnsi" w:hAnsiTheme="majorHAnsi" w:cs="Tahoma"/>
                <w:color w:val="000000"/>
              </w:rPr>
              <w:t>ini</w:t>
            </w:r>
            <w:proofErr w:type="spellEnd"/>
            <w:r w:rsidRPr="0044538D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44538D">
              <w:rPr>
                <w:rFonts w:asciiTheme="majorHAnsi" w:hAnsiTheme="majorHAnsi" w:cs="Tahoma"/>
                <w:color w:val="000000"/>
              </w:rPr>
              <w:t>membahas</w:t>
            </w:r>
            <w:proofErr w:type="spellEnd"/>
            <w:r w:rsidRPr="0044538D">
              <w:rPr>
                <w:rFonts w:asciiTheme="majorHAnsi" w:hAnsiTheme="majorHAnsi" w:cs="Tahoma"/>
                <w:color w:val="000000"/>
              </w:rPr>
              <w:t xml:space="preserve"> </w:t>
            </w:r>
            <w:proofErr w:type="spellStart"/>
            <w:r w:rsidRPr="0044538D">
              <w:rPr>
                <w:rFonts w:asciiTheme="majorHAnsi" w:hAnsiTheme="majorHAnsi" w:cs="Tahoma"/>
                <w:color w:val="000000"/>
              </w:rPr>
              <w:t>tentang</w:t>
            </w:r>
            <w:proofErr w:type="spellEnd"/>
            <w:r w:rsidRPr="0044538D">
              <w:rPr>
                <w:rFonts w:asciiTheme="majorHAnsi" w:hAnsiTheme="majorHAnsi" w:cs="Tahoma"/>
                <w:color w:val="000000"/>
              </w:rPr>
              <w:t xml:space="preserve"> </w:t>
            </w:r>
            <w:r>
              <w:rPr>
                <w:rFonts w:asciiTheme="majorHAnsi" w:hAnsiTheme="majorHAnsi" w:cs="Tahoma"/>
                <w:color w:val="000000"/>
                <w:lang w:val="id-ID"/>
              </w:rPr>
              <w:t xml:space="preserve">sejarah perkembangan </w:t>
            </w:r>
            <w:r w:rsidR="0023025F">
              <w:rPr>
                <w:rFonts w:asciiTheme="majorHAnsi" w:hAnsiTheme="majorHAnsi" w:cs="Tahoma"/>
                <w:color w:val="000000"/>
                <w:lang w:val="id-ID"/>
              </w:rPr>
              <w:t>musik</w:t>
            </w:r>
            <w:r>
              <w:rPr>
                <w:rFonts w:asciiTheme="majorHAnsi" w:hAnsiTheme="majorHAnsi" w:cs="Tahoma"/>
                <w:color w:val="000000"/>
                <w:lang w:val="id-ID"/>
              </w:rPr>
              <w:t xml:space="preserve">, </w:t>
            </w:r>
            <w:r w:rsidR="0023025F">
              <w:rPr>
                <w:rFonts w:asciiTheme="majorHAnsi" w:hAnsiTheme="majorHAnsi" w:cs="Tahoma"/>
                <w:color w:val="000000"/>
                <w:lang w:val="id-ID"/>
              </w:rPr>
              <w:t>genre musik, aplikasi seni musik dalam pembelajaran, perbedaan jenis musik serta manajemen pentas musik di sekolah dasar</w:t>
            </w:r>
          </w:p>
        </w:tc>
      </w:tr>
      <w:tr w:rsidR="00FB5B35" w:rsidRPr="0044538D" w:rsidTr="00F3359C">
        <w:trPr>
          <w:trHeight w:val="7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numPr>
                <w:ilvl w:val="0"/>
                <w:numId w:val="2"/>
              </w:numPr>
              <w:ind w:left="0"/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t>Prasyarat (bila ada)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44538D" w:rsidRDefault="00FB5B35" w:rsidP="00F3359C">
            <w:pPr>
              <w:jc w:val="both"/>
              <w:rPr>
                <w:rFonts w:asciiTheme="majorHAnsi" w:hAnsiTheme="majorHAnsi"/>
              </w:rPr>
            </w:pPr>
            <w:r w:rsidRPr="0044538D">
              <w:rPr>
                <w:rFonts w:asciiTheme="majorHAnsi" w:hAnsiTheme="majorHAnsi"/>
              </w:rPr>
              <w:t>-</w:t>
            </w:r>
          </w:p>
        </w:tc>
      </w:tr>
      <w:tr w:rsidR="00FB5B35" w:rsidRPr="0044538D" w:rsidTr="00F3359C">
        <w:trPr>
          <w:trHeight w:val="60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t>Penanggung Jawab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BA6663" w:rsidRDefault="00FB5B35" w:rsidP="00F3359C">
            <w:pPr>
              <w:jc w:val="both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Dr. H</w:t>
            </w:r>
            <w:r>
              <w:rPr>
                <w:rFonts w:asciiTheme="majorHAnsi" w:hAnsiTheme="majorHAnsi"/>
                <w:lang w:val="id-ID"/>
              </w:rPr>
              <w:t>.</w:t>
            </w:r>
            <w:r w:rsidR="0023025F">
              <w:rPr>
                <w:rFonts w:asciiTheme="majorHAnsi" w:hAnsiTheme="majorHAnsi"/>
                <w:lang w:val="id-ID"/>
              </w:rPr>
              <w:t xml:space="preserve"> Heris Hendriana, M.Pd.</w:t>
            </w:r>
          </w:p>
        </w:tc>
      </w:tr>
      <w:tr w:rsidR="00FB5B35" w:rsidRPr="0044538D" w:rsidTr="00F3359C">
        <w:trPr>
          <w:trHeight w:val="251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jc w:val="both"/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t>Dosen Pengampu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Default="00FB5B35" w:rsidP="00F3359C">
            <w:pPr>
              <w:tabs>
                <w:tab w:val="num" w:pos="-1440"/>
                <w:tab w:val="left" w:pos="3060"/>
              </w:tabs>
              <w:jc w:val="both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Ruli Setiyadi, M.Pd.</w:t>
            </w:r>
          </w:p>
          <w:p w:rsidR="0023025F" w:rsidRPr="00BA6663" w:rsidRDefault="0023025F" w:rsidP="00F3359C">
            <w:pPr>
              <w:tabs>
                <w:tab w:val="num" w:pos="-1440"/>
                <w:tab w:val="left" w:pos="3060"/>
              </w:tabs>
              <w:jc w:val="both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Deden H Altaftazani, M.Pd.</w:t>
            </w:r>
          </w:p>
        </w:tc>
      </w:tr>
      <w:tr w:rsidR="00FB5B35" w:rsidRPr="0044538D" w:rsidTr="00F3359C">
        <w:trPr>
          <w:trHeight w:val="251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jc w:val="both"/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t>Materi Perkuliahan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</w:t>
            </w:r>
            <w:r>
              <w:rPr>
                <w:rFonts w:asciiTheme="majorHAnsi" w:hAnsiTheme="majorHAnsi" w:cs="Tahoma"/>
              </w:rPr>
              <w:t>ertemuan</w:t>
            </w:r>
            <w:proofErr w:type="spellEnd"/>
            <w:r>
              <w:rPr>
                <w:rFonts w:asciiTheme="majorHAnsi" w:hAnsiTheme="majorHAnsi" w:cs="Tahoma"/>
              </w:rPr>
              <w:t xml:space="preserve"> 1  :  </w:t>
            </w:r>
            <w:r w:rsidR="001A6849">
              <w:rPr>
                <w:rFonts w:asciiTheme="majorHAnsi" w:hAnsiTheme="majorHAnsi" w:cs="Tahoma"/>
                <w:lang w:val="id-ID"/>
              </w:rPr>
              <w:t>Wawasan Musik</w:t>
            </w:r>
          </w:p>
          <w:p w:rsidR="00FB5B35" w:rsidRPr="001A6849" w:rsidRDefault="00FB5B35" w:rsidP="00F3359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>
              <w:rPr>
                <w:rFonts w:asciiTheme="majorHAnsi" w:hAnsiTheme="majorHAnsi" w:cs="Tahoma"/>
              </w:rPr>
              <w:t>Pertemuan</w:t>
            </w:r>
            <w:proofErr w:type="spellEnd"/>
            <w:r>
              <w:rPr>
                <w:rFonts w:asciiTheme="majorHAnsi" w:hAnsiTheme="majorHAnsi" w:cs="Tahoma"/>
              </w:rPr>
              <w:t xml:space="preserve"> 2  :  </w:t>
            </w:r>
            <w:r w:rsidR="001A6849">
              <w:rPr>
                <w:rFonts w:asciiTheme="majorHAnsi" w:hAnsiTheme="majorHAnsi" w:cs="Tahoma"/>
                <w:lang w:val="id-ID"/>
              </w:rPr>
              <w:t>Teori Musik (Pola Ritme dan Notasi Musik)</w:t>
            </w:r>
          </w:p>
          <w:p w:rsidR="00FB5B35" w:rsidRPr="001A6849" w:rsidRDefault="00FB5B35" w:rsidP="00F3359C">
            <w:pPr>
              <w:tabs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3  :  </w:t>
            </w:r>
            <w:r w:rsidR="001A6849">
              <w:rPr>
                <w:rFonts w:asciiTheme="majorHAnsi" w:hAnsiTheme="majorHAnsi" w:cs="Tahoma"/>
                <w:lang w:val="id-ID"/>
              </w:rPr>
              <w:t>Teori Musik (Tangga Nada) Solfeggio</w:t>
            </w:r>
          </w:p>
          <w:p w:rsidR="00FB5B35" w:rsidRPr="001A6849" w:rsidRDefault="00FB5B35" w:rsidP="00F3359C">
            <w:pPr>
              <w:tabs>
                <w:tab w:val="left" w:pos="1701"/>
                <w:tab w:val="left" w:pos="2127"/>
              </w:tabs>
              <w:jc w:val="both"/>
              <w:rPr>
                <w:rFonts w:asciiTheme="majorHAnsi" w:hAnsiTheme="majorHAnsi" w:cs="Tahoma"/>
                <w:color w:val="000000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 xml:space="preserve">4  :  </w:t>
            </w:r>
            <w:r w:rsidR="001A6849">
              <w:rPr>
                <w:rFonts w:asciiTheme="majorHAnsi" w:hAnsiTheme="majorHAnsi" w:cs="Tahoma"/>
                <w:lang w:val="id-ID"/>
              </w:rPr>
              <w:t>Surupan dalam musik daerah</w:t>
            </w:r>
          </w:p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5  :  </w:t>
            </w:r>
            <w:r w:rsidR="001A6849">
              <w:rPr>
                <w:rFonts w:asciiTheme="majorHAnsi" w:hAnsiTheme="majorHAnsi" w:cs="Tahoma"/>
                <w:lang w:val="id-ID"/>
              </w:rPr>
              <w:t>Komposisi</w:t>
            </w:r>
          </w:p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6  :  </w:t>
            </w:r>
            <w:r w:rsidR="001A6849">
              <w:rPr>
                <w:rFonts w:asciiTheme="majorHAnsi" w:hAnsiTheme="majorHAnsi" w:cs="Tahoma"/>
                <w:lang w:val="id-ID"/>
              </w:rPr>
              <w:t>Aransemen</w:t>
            </w:r>
          </w:p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7  :  </w:t>
            </w:r>
            <w:r w:rsidR="001A6849">
              <w:rPr>
                <w:rFonts w:asciiTheme="majorHAnsi" w:hAnsiTheme="majorHAnsi" w:cs="Tahoma"/>
                <w:lang w:val="id-ID"/>
              </w:rPr>
              <w:t>Praktek memainkan alat musik 1</w:t>
            </w:r>
          </w:p>
          <w:p w:rsidR="00FB5B35" w:rsidRPr="0044538D" w:rsidRDefault="00FB5B35" w:rsidP="00F3359C">
            <w:pPr>
              <w:jc w:val="both"/>
              <w:rPr>
                <w:rFonts w:asciiTheme="majorHAnsi" w:hAnsiTheme="majorHAnsi" w:cs="Tahoma"/>
                <w:i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8  :  </w:t>
            </w:r>
            <w:proofErr w:type="spellStart"/>
            <w:r w:rsidRPr="0044538D">
              <w:rPr>
                <w:rFonts w:asciiTheme="majorHAnsi" w:hAnsiTheme="majorHAnsi" w:cs="Tahoma"/>
                <w:b/>
              </w:rPr>
              <w:t>Ujian</w:t>
            </w:r>
            <w:proofErr w:type="spellEnd"/>
            <w:r w:rsidRPr="0044538D">
              <w:rPr>
                <w:rFonts w:asciiTheme="majorHAnsi" w:hAnsiTheme="majorHAnsi" w:cs="Tahoma"/>
                <w:b/>
              </w:rPr>
              <w:t xml:space="preserve"> Tengah Semester (UTS)</w:t>
            </w:r>
          </w:p>
          <w:p w:rsidR="00FB5B35" w:rsidRPr="00412FC3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9  :  </w:t>
            </w:r>
            <w:r w:rsidR="001A6849">
              <w:rPr>
                <w:rFonts w:asciiTheme="majorHAnsi" w:hAnsiTheme="majorHAnsi" w:cs="Tahoma"/>
                <w:color w:val="000000"/>
                <w:lang w:val="id-ID"/>
              </w:rPr>
              <w:t>Praktek memainkan alat musik 2</w:t>
            </w:r>
          </w:p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10:  </w:t>
            </w:r>
            <w:r w:rsidR="001A6849">
              <w:rPr>
                <w:rFonts w:asciiTheme="majorHAnsi" w:hAnsiTheme="majorHAnsi" w:cs="Tahoma"/>
                <w:lang w:val="id-ID"/>
              </w:rPr>
              <w:t>Ansamble</w:t>
            </w:r>
          </w:p>
          <w:p w:rsidR="00FB5B35" w:rsidRPr="001A6849" w:rsidRDefault="00FB5B35" w:rsidP="00F3359C">
            <w:pPr>
              <w:tabs>
                <w:tab w:val="left" w:pos="1701"/>
                <w:tab w:val="left" w:pos="2127"/>
              </w:tabs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lastRenderedPageBreak/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11:</w:t>
            </w:r>
            <w:r w:rsidRPr="0044538D">
              <w:rPr>
                <w:rFonts w:asciiTheme="majorHAnsi" w:hAnsiTheme="majorHAnsi" w:cs="Tahoma"/>
                <w:color w:val="000000"/>
              </w:rPr>
              <w:t xml:space="preserve">  </w:t>
            </w:r>
            <w:r w:rsidR="001A6849">
              <w:rPr>
                <w:rFonts w:asciiTheme="majorHAnsi" w:hAnsiTheme="majorHAnsi" w:cs="Tahoma"/>
                <w:color w:val="000000"/>
                <w:lang w:val="id-ID"/>
              </w:rPr>
              <w:t>Pupun dan Tembang</w:t>
            </w:r>
          </w:p>
          <w:p w:rsidR="00FB5B35" w:rsidRPr="001A6849" w:rsidRDefault="00FB5B35" w:rsidP="00F3359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12:  </w:t>
            </w:r>
            <w:r w:rsidR="001A6849">
              <w:rPr>
                <w:rFonts w:asciiTheme="majorHAnsi" w:hAnsiTheme="majorHAnsi" w:cs="Tahoma"/>
                <w:lang w:val="id-ID"/>
              </w:rPr>
              <w:t>Apresiasi Musik</w:t>
            </w:r>
          </w:p>
          <w:p w:rsidR="00FB5B35" w:rsidRPr="001A6849" w:rsidRDefault="00FB5B35" w:rsidP="00F3359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13:  </w:t>
            </w:r>
            <w:r w:rsidR="001A6849">
              <w:rPr>
                <w:rFonts w:asciiTheme="majorHAnsi" w:hAnsiTheme="majorHAnsi" w:cs="Tahoma"/>
                <w:lang w:val="id-ID"/>
              </w:rPr>
              <w:t>Strategi Pembelajaran Musik</w:t>
            </w:r>
          </w:p>
          <w:p w:rsidR="00FB5B35" w:rsidRPr="001A6849" w:rsidRDefault="00FB5B35" w:rsidP="00F3359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14:  </w:t>
            </w:r>
            <w:r w:rsidR="001A6849">
              <w:rPr>
                <w:rFonts w:asciiTheme="majorHAnsi" w:hAnsiTheme="majorHAnsi" w:cs="Tahoma"/>
                <w:lang w:val="id-ID"/>
              </w:rPr>
              <w:t>Perencanaan Pementasan</w:t>
            </w:r>
          </w:p>
          <w:p w:rsidR="00FB5B35" w:rsidRPr="001A6849" w:rsidRDefault="00FB5B35" w:rsidP="00F3359C">
            <w:pPr>
              <w:jc w:val="both"/>
              <w:rPr>
                <w:rFonts w:asciiTheme="majorHAnsi" w:hAnsiTheme="majorHAnsi" w:cs="Tahoma"/>
                <w:lang w:val="id-ID"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15:  </w:t>
            </w:r>
            <w:r w:rsidR="001A6849">
              <w:rPr>
                <w:rFonts w:asciiTheme="majorHAnsi" w:hAnsiTheme="majorHAnsi" w:cs="Tahoma"/>
                <w:lang w:val="id-ID"/>
              </w:rPr>
              <w:t>Pelaksanaan Pementasan</w:t>
            </w:r>
          </w:p>
          <w:p w:rsidR="00FB5B35" w:rsidRPr="0044538D" w:rsidRDefault="00FB5B35" w:rsidP="00F3359C">
            <w:pPr>
              <w:tabs>
                <w:tab w:val="left" w:pos="2127"/>
              </w:tabs>
              <w:jc w:val="both"/>
              <w:rPr>
                <w:rFonts w:asciiTheme="majorHAnsi" w:hAnsiTheme="majorHAnsi" w:cs="Tahoma"/>
                <w:b/>
                <w:i/>
              </w:rPr>
            </w:pPr>
            <w:proofErr w:type="spellStart"/>
            <w:r w:rsidRPr="0044538D">
              <w:rPr>
                <w:rFonts w:asciiTheme="majorHAnsi" w:hAnsiTheme="majorHAnsi" w:cs="Tahoma"/>
              </w:rPr>
              <w:t>Pertemuan</w:t>
            </w:r>
            <w:proofErr w:type="spellEnd"/>
            <w:r w:rsidRPr="0044538D">
              <w:rPr>
                <w:rFonts w:asciiTheme="majorHAnsi" w:hAnsiTheme="majorHAnsi" w:cs="Tahoma"/>
              </w:rPr>
              <w:t xml:space="preserve"> 16:  </w:t>
            </w:r>
            <w:proofErr w:type="spellStart"/>
            <w:r w:rsidRPr="0044538D">
              <w:rPr>
                <w:rFonts w:asciiTheme="majorHAnsi" w:hAnsiTheme="majorHAnsi" w:cs="Tahoma"/>
                <w:b/>
                <w:i/>
              </w:rPr>
              <w:t>Ujian</w:t>
            </w:r>
            <w:proofErr w:type="spellEnd"/>
            <w:r w:rsidRPr="0044538D">
              <w:rPr>
                <w:rFonts w:asciiTheme="majorHAnsi" w:hAnsiTheme="majorHAnsi" w:cs="Tahoma"/>
                <w:b/>
                <w:i/>
              </w:rPr>
              <w:t xml:space="preserve"> </w:t>
            </w:r>
            <w:proofErr w:type="spellStart"/>
            <w:r w:rsidRPr="0044538D">
              <w:rPr>
                <w:rFonts w:asciiTheme="majorHAnsi" w:hAnsiTheme="majorHAnsi" w:cs="Tahoma"/>
                <w:b/>
                <w:i/>
              </w:rPr>
              <w:t>Akhir</w:t>
            </w:r>
            <w:proofErr w:type="spellEnd"/>
            <w:r w:rsidRPr="0044538D">
              <w:rPr>
                <w:rFonts w:asciiTheme="majorHAnsi" w:hAnsiTheme="majorHAnsi" w:cs="Tahoma"/>
                <w:b/>
                <w:i/>
              </w:rPr>
              <w:t xml:space="preserve"> Semester (UAS)</w:t>
            </w:r>
          </w:p>
        </w:tc>
      </w:tr>
      <w:tr w:rsidR="00FB5B35" w:rsidRPr="0044538D" w:rsidTr="00F3359C">
        <w:trPr>
          <w:trHeight w:val="251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jc w:val="both"/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lastRenderedPageBreak/>
              <w:t>Pustaka</w:t>
            </w:r>
          </w:p>
        </w:tc>
        <w:tc>
          <w:tcPr>
            <w:tcW w:w="10744" w:type="dxa"/>
            <w:tcBorders>
              <w:left w:val="single" w:sz="4" w:space="0" w:color="auto"/>
              <w:right w:val="single" w:sz="4" w:space="0" w:color="auto"/>
            </w:tcBorders>
          </w:tcPr>
          <w:p w:rsidR="00FB5B35" w:rsidRPr="0044538D" w:rsidRDefault="00FB5B35" w:rsidP="00F3359C">
            <w:pPr>
              <w:autoSpaceDE w:val="0"/>
              <w:autoSpaceDN w:val="0"/>
              <w:adjustRightInd w:val="0"/>
              <w:ind w:left="572" w:hanging="572"/>
              <w:jc w:val="both"/>
              <w:rPr>
                <w:rFonts w:asciiTheme="majorHAnsi" w:hAnsiTheme="majorHAnsi" w:cs="Tahoma"/>
                <w:b/>
                <w:color w:val="000000"/>
              </w:rPr>
            </w:pPr>
            <w:proofErr w:type="spellStart"/>
            <w:r w:rsidRPr="0044538D">
              <w:rPr>
                <w:rFonts w:asciiTheme="majorHAnsi" w:hAnsiTheme="majorHAnsi" w:cs="Tahoma"/>
                <w:b/>
                <w:color w:val="000000"/>
              </w:rPr>
              <w:t>Utama</w:t>
            </w:r>
            <w:proofErr w:type="spellEnd"/>
            <w:r w:rsidRPr="0044538D">
              <w:rPr>
                <w:rFonts w:asciiTheme="majorHAnsi" w:hAnsiTheme="majorHAnsi" w:cs="Tahoma"/>
                <w:b/>
                <w:color w:val="000000"/>
              </w:rPr>
              <w:t>:</w:t>
            </w:r>
          </w:p>
          <w:p w:rsidR="00F64059" w:rsidRPr="00F64059" w:rsidRDefault="00F64059" w:rsidP="00F64059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Budilinggono, L (1993) 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 xml:space="preserve">Bentuk dan Analisis Musik. 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Jakarta: Departemen Pendidikan dan Kebudayaan </w:t>
            </w:r>
          </w:p>
          <w:p w:rsidR="00FB5B35" w:rsidRPr="0044538D" w:rsidRDefault="00FB5B35" w:rsidP="00F3359C">
            <w:pPr>
              <w:autoSpaceDE w:val="0"/>
              <w:autoSpaceDN w:val="0"/>
              <w:adjustRightInd w:val="0"/>
              <w:ind w:left="572" w:hanging="572"/>
              <w:jc w:val="both"/>
              <w:rPr>
                <w:rFonts w:asciiTheme="majorHAnsi" w:hAnsiTheme="majorHAnsi" w:cs="Tahoma"/>
                <w:b/>
                <w:color w:val="000000"/>
              </w:rPr>
            </w:pPr>
            <w:proofErr w:type="spellStart"/>
            <w:r w:rsidRPr="0044538D">
              <w:rPr>
                <w:rFonts w:asciiTheme="majorHAnsi" w:hAnsiTheme="majorHAnsi" w:cs="Tahoma"/>
                <w:b/>
                <w:color w:val="000000"/>
              </w:rPr>
              <w:t>Pendukung</w:t>
            </w:r>
            <w:proofErr w:type="spellEnd"/>
            <w:r w:rsidRPr="0044538D">
              <w:rPr>
                <w:rFonts w:asciiTheme="majorHAnsi" w:hAnsiTheme="majorHAnsi" w:cs="Tahoma"/>
                <w:b/>
                <w:color w:val="000000"/>
              </w:rPr>
              <w:t>:</w:t>
            </w:r>
          </w:p>
          <w:p w:rsidR="00FB5B35" w:rsidRPr="00F64059" w:rsidRDefault="00F64059" w:rsidP="00F6405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Ambrosius, yakum, (1990). 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>Belajar Musik dengan mudah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. Bandung : GITA ABORIGEN </w:t>
            </w:r>
          </w:p>
          <w:p w:rsidR="00F64059" w:rsidRPr="00F64059" w:rsidRDefault="00F64059" w:rsidP="00F6405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>Edmun, Karl. J. P. S. (1996)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 xml:space="preserve">. Ilmu Bentuk Musik. 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Yogyakarta: Pusat Musik Liturgi </w:t>
            </w:r>
          </w:p>
          <w:p w:rsidR="00F64059" w:rsidRPr="00F64059" w:rsidRDefault="00F64059" w:rsidP="00F6405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Kusumawati, Heni. (2004) 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 xml:space="preserve">Komposisi Dasar 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. Yogyakarta: FBS-UNY Yogyakarta </w:t>
            </w:r>
          </w:p>
          <w:p w:rsidR="00F64059" w:rsidRPr="00F64059" w:rsidRDefault="00F64059" w:rsidP="00F6405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Mudjilah, H. S. (1998). 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>Teori Musik Dasar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. Yogyakarta: IKIP Yogyakarta </w:t>
            </w:r>
          </w:p>
          <w:p w:rsidR="00F64059" w:rsidRPr="00F64059" w:rsidRDefault="00F64059" w:rsidP="00F6405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Nano S dan Engkos Warnika. (1983). </w:t>
            </w:r>
            <w:r w:rsidRPr="00F64059">
              <w:rPr>
                <w:rFonts w:asciiTheme="majorHAnsi" w:hAnsiTheme="majorHAnsi"/>
                <w:i/>
                <w:iCs/>
                <w:color w:val="000000"/>
                <w:lang w:val="id-ID" w:eastAsia="id-ID"/>
              </w:rPr>
              <w:t>Pengetahuan Karawitan Sunda</w:t>
            </w:r>
            <w:r w:rsidRPr="00F64059">
              <w:rPr>
                <w:rFonts w:asciiTheme="majorHAnsi" w:hAnsiTheme="majorHAnsi"/>
                <w:color w:val="000000"/>
                <w:lang w:val="id-ID" w:eastAsia="id-ID"/>
              </w:rPr>
              <w:t xml:space="preserve">. Jakarta : Direktorat Pendidikan Dasar dan Menengah Departemen Pendidikan dan Kebudayaan </w:t>
            </w:r>
          </w:p>
        </w:tc>
      </w:tr>
      <w:tr w:rsidR="00FB5B35" w:rsidRPr="0044538D" w:rsidTr="00F3359C">
        <w:trPr>
          <w:trHeight w:val="251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35" w:rsidRPr="0044538D" w:rsidRDefault="00FB5B35" w:rsidP="00F3359C">
            <w:pPr>
              <w:jc w:val="both"/>
              <w:rPr>
                <w:rFonts w:asciiTheme="majorHAnsi" w:hAnsiTheme="majorHAnsi"/>
                <w:lang w:val="fi-FI"/>
              </w:rPr>
            </w:pPr>
            <w:r w:rsidRPr="0044538D">
              <w:rPr>
                <w:rFonts w:asciiTheme="majorHAnsi" w:hAnsiTheme="majorHAnsi"/>
                <w:lang w:val="fi-FI"/>
              </w:rPr>
              <w:t>Media Pembelajaran</w:t>
            </w:r>
          </w:p>
        </w:tc>
        <w:tc>
          <w:tcPr>
            <w:tcW w:w="10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44538D" w:rsidRDefault="00FB5B35" w:rsidP="00F3359C">
            <w:pPr>
              <w:autoSpaceDE w:val="0"/>
              <w:autoSpaceDN w:val="0"/>
              <w:adjustRightInd w:val="0"/>
              <w:ind w:left="572" w:hanging="572"/>
              <w:jc w:val="both"/>
              <w:rPr>
                <w:rFonts w:asciiTheme="majorHAnsi" w:hAnsiTheme="majorHAnsi" w:cs="Tahoma"/>
                <w:color w:val="000000"/>
              </w:rPr>
            </w:pPr>
            <w:r w:rsidRPr="0044538D">
              <w:rPr>
                <w:rFonts w:asciiTheme="majorHAnsi" w:hAnsiTheme="majorHAnsi" w:cs="Tahoma"/>
                <w:color w:val="000000"/>
              </w:rPr>
              <w:t xml:space="preserve">LCD &amp; </w:t>
            </w:r>
            <w:proofErr w:type="spellStart"/>
            <w:r w:rsidRPr="0044538D">
              <w:rPr>
                <w:rFonts w:asciiTheme="majorHAnsi" w:hAnsiTheme="majorHAnsi" w:cs="Tahoma"/>
                <w:color w:val="000000"/>
              </w:rPr>
              <w:t>Proyektor</w:t>
            </w:r>
            <w:proofErr w:type="spellEnd"/>
          </w:p>
        </w:tc>
      </w:tr>
    </w:tbl>
    <w:p w:rsidR="00FB5B35" w:rsidRPr="0044538D" w:rsidRDefault="00FB5B35" w:rsidP="00FB5B35">
      <w:pPr>
        <w:rPr>
          <w:rFonts w:asciiTheme="majorHAnsi" w:hAnsiTheme="majorHAnsi"/>
          <w:lang w:val="id-ID"/>
        </w:rPr>
      </w:pPr>
    </w:p>
    <w:p w:rsidR="00FB5B35" w:rsidRDefault="00FB5B35" w:rsidP="00FB5B35">
      <w:pPr>
        <w:jc w:val="both"/>
        <w:rPr>
          <w:rFonts w:asciiTheme="majorHAnsi" w:hAnsiTheme="majorHAnsi"/>
          <w:b/>
          <w:szCs w:val="20"/>
          <w:lang w:val="id-ID"/>
        </w:rPr>
      </w:pPr>
    </w:p>
    <w:p w:rsidR="00FB5B35" w:rsidRPr="0044538D" w:rsidRDefault="00FB5B35" w:rsidP="00FB5B35">
      <w:pPr>
        <w:jc w:val="both"/>
        <w:rPr>
          <w:rFonts w:asciiTheme="majorHAnsi" w:hAnsiTheme="majorHAnsi"/>
          <w:b/>
          <w:szCs w:val="20"/>
        </w:rPr>
      </w:pPr>
      <w:proofErr w:type="spellStart"/>
      <w:r w:rsidRPr="0044538D">
        <w:rPr>
          <w:rFonts w:asciiTheme="majorHAnsi" w:hAnsiTheme="majorHAnsi"/>
          <w:b/>
          <w:szCs w:val="20"/>
        </w:rPr>
        <w:t>Rencana</w:t>
      </w:r>
      <w:proofErr w:type="spellEnd"/>
      <w:r w:rsidRPr="0044538D">
        <w:rPr>
          <w:rFonts w:asciiTheme="majorHAnsi" w:hAnsiTheme="majorHAnsi"/>
          <w:b/>
          <w:szCs w:val="20"/>
        </w:rPr>
        <w:t xml:space="preserve"> </w:t>
      </w:r>
      <w:proofErr w:type="spellStart"/>
      <w:r w:rsidRPr="0044538D">
        <w:rPr>
          <w:rFonts w:asciiTheme="majorHAnsi" w:hAnsiTheme="majorHAnsi"/>
          <w:b/>
          <w:szCs w:val="20"/>
        </w:rPr>
        <w:t>Pembelajaran</w:t>
      </w:r>
      <w:proofErr w:type="spellEnd"/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2941"/>
        <w:gridCol w:w="1704"/>
        <w:gridCol w:w="2409"/>
        <w:gridCol w:w="1843"/>
        <w:gridCol w:w="2268"/>
        <w:gridCol w:w="2409"/>
        <w:gridCol w:w="992"/>
      </w:tblGrid>
      <w:tr w:rsidR="00FB5B35" w:rsidRPr="00280A20" w:rsidTr="00F3359C">
        <w:trPr>
          <w:tblHeader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Bahan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Kajian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Materi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Ajar)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Alokasi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Waktu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Jumlah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Pertemuan</w:t>
            </w:r>
            <w:proofErr w:type="spellEnd"/>
          </w:p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Pertemuan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Ke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-)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Kemampuan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Akhir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Metode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Pengalaman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Deskripsi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Kriteria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Bobot</w:t>
            </w:r>
            <w:proofErr w:type="spellEnd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b/>
                <w:sz w:val="18"/>
                <w:szCs w:val="18"/>
              </w:rPr>
              <w:t>Nilai</w:t>
            </w:r>
            <w:proofErr w:type="spellEnd"/>
          </w:p>
        </w:tc>
      </w:tr>
      <w:tr w:rsidR="00FB5B35" w:rsidRPr="00280A20" w:rsidTr="00F3359C">
        <w:tc>
          <w:tcPr>
            <w:tcW w:w="2941" w:type="dxa"/>
          </w:tcPr>
          <w:p w:rsidR="00FB5B35" w:rsidRPr="00280A20" w:rsidRDefault="00FB5B35" w:rsidP="00F3359C">
            <w:pPr>
              <w:rPr>
                <w:rFonts w:asciiTheme="majorHAnsi" w:eastAsia="Calibr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Orientasi Perkuliahan</w:t>
            </w:r>
          </w:p>
        </w:tc>
        <w:tc>
          <w:tcPr>
            <w:tcW w:w="1704" w:type="dxa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2409" w:type="dxa"/>
          </w:tcPr>
          <w:p w:rsidR="00FB5B35" w:rsidRPr="00280A20" w:rsidRDefault="00FB5B35" w:rsidP="00F3359C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mengetahui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seluruh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materi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pokok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akan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diberikan</w:t>
            </w:r>
            <w:proofErr w:type="spellEnd"/>
            <w:r w:rsidRPr="00280A2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eastAsia="Calibri" w:hAnsiTheme="majorHAnsi"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1843" w:type="dxa"/>
          </w:tcPr>
          <w:p w:rsidR="00FB5B35" w:rsidRPr="00280A20" w:rsidRDefault="00FB5B35" w:rsidP="00F3359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Ceramah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Tanya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268" w:type="dxa"/>
          </w:tcPr>
          <w:p w:rsidR="00FB5B35" w:rsidRPr="00280A20" w:rsidRDefault="00FB5B35" w:rsidP="00F3359C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sv-SE"/>
              </w:rPr>
              <w:t>Mahasiswa dapat mengikuti materi dengan baik</w:t>
            </w:r>
          </w:p>
        </w:tc>
        <w:tc>
          <w:tcPr>
            <w:tcW w:w="2409" w:type="dxa"/>
          </w:tcPr>
          <w:p w:rsidR="00FB5B35" w:rsidRPr="00280A20" w:rsidRDefault="00FB5B35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Pemahaman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992" w:type="dxa"/>
          </w:tcPr>
          <w:p w:rsidR="00FB5B35" w:rsidRPr="00280A20" w:rsidRDefault="00FB5B35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Wawasan Musik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spacing w:after="240"/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mampu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mengungkapkan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pertanyaan-pertanyaan yang berkaitan dengan wawasan musik.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inquiri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ceramah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tanya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jawab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tentang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wawasan musik.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kembali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materi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pendahuluan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diberikan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dosen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01C5B" w:rsidRPr="00280A20" w:rsidTr="00764CCE">
        <w:tc>
          <w:tcPr>
            <w:tcW w:w="2941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Teori Musik (Pola ritme dan notasi musik)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spacing w:after="2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men-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pengertian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teori musik.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inquiri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ceramah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tanya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jawab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pe-ngertian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konsep teori musik.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spacing w:after="240"/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penger-tian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konsep teori musik.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Sikap dan pemahaman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  <w:lang w:val="id-ID" w:eastAsia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lastRenderedPageBreak/>
              <w:t>Teori Musik (Tangga Nada)</w:t>
            </w:r>
          </w:p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Solfeggio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01C5B" w:rsidRPr="00280A20" w:rsidRDefault="00501C5B" w:rsidP="00501C5B">
            <w:pPr>
              <w:numPr>
                <w:ilvl w:val="0"/>
                <w:numId w:val="4"/>
              </w:numPr>
              <w:ind w:left="212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konsep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teori musik.</w:t>
            </w:r>
          </w:p>
          <w:p w:rsidR="00501C5B" w:rsidRPr="00280A20" w:rsidRDefault="00501C5B" w:rsidP="00501C5B">
            <w:pPr>
              <w:numPr>
                <w:ilvl w:val="0"/>
                <w:numId w:val="4"/>
              </w:numPr>
              <w:ind w:left="212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solfeggio.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inquiri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1C5B" w:rsidRPr="00280A20" w:rsidRDefault="00501C5B" w:rsidP="00501C5B">
            <w:pPr>
              <w:numPr>
                <w:ilvl w:val="0"/>
                <w:numId w:val="5"/>
              </w:numPr>
              <w:ind w:left="313" w:hanging="313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nyimak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teori musik.</w:t>
            </w:r>
          </w:p>
          <w:p w:rsidR="00501C5B" w:rsidRPr="00280A20" w:rsidRDefault="00501C5B" w:rsidP="00F3359C">
            <w:pPr>
              <w:ind w:left="313"/>
              <w:rPr>
                <w:rFonts w:asciiTheme="majorHAnsi" w:hAnsiTheme="majorHAnsi"/>
                <w:sz w:val="18"/>
                <w:szCs w:val="18"/>
              </w:rPr>
            </w:pPr>
          </w:p>
          <w:p w:rsidR="00501C5B" w:rsidRPr="00280A20" w:rsidRDefault="00501C5B" w:rsidP="00501C5B">
            <w:pPr>
              <w:numPr>
                <w:ilvl w:val="0"/>
                <w:numId w:val="5"/>
              </w:numPr>
              <w:ind w:left="313" w:hanging="313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dis-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rumuskan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contoh-contoh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solfeggio.</w:t>
            </w:r>
          </w:p>
        </w:tc>
        <w:tc>
          <w:tcPr>
            <w:tcW w:w="2409" w:type="dxa"/>
          </w:tcPr>
          <w:p w:rsidR="00501C5B" w:rsidRPr="00280A20" w:rsidRDefault="00501C5B" w:rsidP="00501C5B">
            <w:pPr>
              <w:numPr>
                <w:ilvl w:val="0"/>
                <w:numId w:val="6"/>
              </w:numPr>
              <w:ind w:left="241" w:hanging="283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kebutuhan dan syarat pokok teori musik.</w:t>
            </w:r>
          </w:p>
          <w:p w:rsidR="00501C5B" w:rsidRPr="00280A20" w:rsidRDefault="00501C5B" w:rsidP="00F3359C">
            <w:pPr>
              <w:ind w:left="241"/>
              <w:rPr>
                <w:rFonts w:asciiTheme="majorHAnsi" w:hAnsiTheme="majorHAnsi"/>
                <w:sz w:val="18"/>
                <w:szCs w:val="18"/>
              </w:rPr>
            </w:pPr>
          </w:p>
          <w:p w:rsidR="00501C5B" w:rsidRPr="00280A20" w:rsidRDefault="00501C5B" w:rsidP="00501C5B">
            <w:pPr>
              <w:numPr>
                <w:ilvl w:val="0"/>
                <w:numId w:val="6"/>
              </w:numPr>
              <w:ind w:left="241" w:hanging="283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rumuskan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contoh-contoh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penerapan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solfeggio.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Surupan dalam musik daerah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nyebutkan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contoh-contoh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surupan dalam musik daerah.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tanya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jawab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pemberian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individual 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ten-tang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surupan dalam musik daerah.</w:t>
            </w:r>
          </w:p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prinsip-prinsip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surupan dalam musik daerah.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Komposisi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5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komposisi.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inquiri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ceramah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tanya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jawab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komposisi.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Menjelaskan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komposisi.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69132F">
        <w:tc>
          <w:tcPr>
            <w:tcW w:w="2941" w:type="dxa"/>
          </w:tcPr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Aransemen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6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nentukan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aransemen.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melak-sanakan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merumuskan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ha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sil aransemen.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Rumusan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hasil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secara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3C71AB">
        <w:tc>
          <w:tcPr>
            <w:tcW w:w="2941" w:type="dxa"/>
          </w:tcPr>
          <w:p w:rsidR="00501C5B" w:rsidRPr="00280A20" w:rsidRDefault="00501C5B" w:rsidP="00F3359C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Praktek memainkan alat musik I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7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praktekkan alat musik I.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Praktek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pen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jelasan dan mempraktekkan alat musik I.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Membedakan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insprovisasi alat musik I.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</w:tc>
      </w:tr>
      <w:tr w:rsidR="00501C5B" w:rsidRPr="00280A20" w:rsidTr="00F3359C">
        <w:tc>
          <w:tcPr>
            <w:tcW w:w="2941" w:type="dxa"/>
            <w:vAlign w:val="center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UTS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8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Mahasiswa memahami materi I-</w:t>
            </w:r>
            <w:r w:rsidRPr="00280A20">
              <w:rPr>
                <w:rFonts w:asciiTheme="majorHAnsi" w:hAnsiTheme="majorHAnsi"/>
                <w:sz w:val="18"/>
                <w:szCs w:val="18"/>
              </w:rPr>
              <w:t>VIII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jc w:val="both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Penugasan dan Soal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Siswa mengerjakan soal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Penilaian hasil UTS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Praktek memainkan alat musik II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9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emainkan alat musik II.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Praktek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penjelasan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dosen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tentang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memainkan alat musik II.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Me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mpraktekkan alat musik II.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Ansambel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1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0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nunjukan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contoh-contoh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ansambel.</w:t>
            </w:r>
          </w:p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inquiri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pemberian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mengerjakan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hasil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diskusi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Contoh-contoh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ansambel.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Pupuh / Tembang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1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milih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pupuh/tembang.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simulasi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penerapan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metode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pembelajaran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p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upuh/tembang.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menyi-mak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mensimula-sikan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pupuh/tembang.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Mensimulasikan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me-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tode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pembelajaran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dipilih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sesuai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tema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pen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ilaian pupuh/tembang.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Apresiasi Musik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1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2</w:t>
            </w:r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peni-laian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apresiasi musik.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pem-berian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apresiasi musik.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apresiasi musik.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lastRenderedPageBreak/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studi apresiasi musik.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lastRenderedPageBreak/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lastRenderedPageBreak/>
              <w:t>Strategi Pembelajaran Musik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1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3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peni-laian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strategi pembelajaran musik.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Ekspositori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pem-berian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tugas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apresiasi musik.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strategi apresiasi musik.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studi strategi pembelajaran musik.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Perencanaan Pementasan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</w:rPr>
              <w:t>1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dapat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peni-laian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perencanaan pementasan.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Praktek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perencanaan pementasan.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perencanaan pementasan.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 w:eastAsia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 w:eastAsia="id-ID"/>
              </w:rPr>
              <w:t>Pelaksanaan Pementasan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15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Mahasiswa melaksanakan pementasan musik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Praktek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Mahasiswa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membuat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perencanaan pementasan.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Skala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penilaian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tepat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0A20">
              <w:rPr>
                <w:rFonts w:asciiTheme="majorHAnsi" w:hAnsiTheme="majorHAnsi"/>
                <w:sz w:val="18"/>
                <w:szCs w:val="18"/>
              </w:rPr>
              <w:t>untuk</w:t>
            </w:r>
            <w:proofErr w:type="spellEnd"/>
            <w:r w:rsidRPr="00280A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perencanaan pementasan.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</w:tc>
      </w:tr>
      <w:tr w:rsidR="00501C5B" w:rsidRPr="00280A20" w:rsidTr="00F3359C">
        <w:tc>
          <w:tcPr>
            <w:tcW w:w="2941" w:type="dxa"/>
          </w:tcPr>
          <w:p w:rsidR="00501C5B" w:rsidRPr="00280A20" w:rsidRDefault="00501C5B" w:rsidP="00F3359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80A20">
              <w:rPr>
                <w:rFonts w:asciiTheme="majorHAnsi" w:eastAsia="Calibri" w:hAnsiTheme="majorHAnsi"/>
                <w:sz w:val="18"/>
                <w:szCs w:val="18"/>
              </w:rPr>
              <w:t>UAS</w:t>
            </w:r>
          </w:p>
        </w:tc>
        <w:tc>
          <w:tcPr>
            <w:tcW w:w="1704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16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eastAsia="Calibr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eastAsia="Calibri" w:hAnsiTheme="majorHAnsi"/>
                <w:sz w:val="18"/>
                <w:szCs w:val="18"/>
                <w:lang w:val="id-ID"/>
              </w:rPr>
              <w:t>Mehamai seluruh materi perkuliahan Pendidikan Pancasila I-XV</w:t>
            </w:r>
          </w:p>
        </w:tc>
        <w:tc>
          <w:tcPr>
            <w:tcW w:w="1843" w:type="dxa"/>
          </w:tcPr>
          <w:p w:rsidR="00501C5B" w:rsidRPr="00280A20" w:rsidRDefault="00501C5B" w:rsidP="00F3359C">
            <w:pPr>
              <w:jc w:val="both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Mengerjakan soal UAS</w:t>
            </w:r>
          </w:p>
        </w:tc>
        <w:tc>
          <w:tcPr>
            <w:tcW w:w="2268" w:type="dxa"/>
          </w:tcPr>
          <w:p w:rsidR="00501C5B" w:rsidRPr="00280A20" w:rsidRDefault="00501C5B" w:rsidP="00F3359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80A20">
              <w:rPr>
                <w:rFonts w:asciiTheme="majorHAnsi" w:eastAsia="Calibri" w:hAnsiTheme="majorHAnsi"/>
                <w:sz w:val="18"/>
                <w:szCs w:val="18"/>
              </w:rPr>
              <w:t>UAS</w:t>
            </w:r>
          </w:p>
        </w:tc>
        <w:tc>
          <w:tcPr>
            <w:tcW w:w="2409" w:type="dxa"/>
          </w:tcPr>
          <w:p w:rsidR="00501C5B" w:rsidRPr="00280A20" w:rsidRDefault="00501C5B" w:rsidP="00F3359C">
            <w:pPr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Lembar jawaban</w:t>
            </w:r>
          </w:p>
        </w:tc>
        <w:tc>
          <w:tcPr>
            <w:tcW w:w="992" w:type="dxa"/>
          </w:tcPr>
          <w:p w:rsidR="00501C5B" w:rsidRPr="00280A20" w:rsidRDefault="00501C5B" w:rsidP="00F33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80A20">
              <w:rPr>
                <w:rFonts w:asciiTheme="majorHAnsi" w:hAnsiTheme="majorHAnsi"/>
                <w:sz w:val="18"/>
                <w:szCs w:val="18"/>
                <w:lang w:val="id-ID"/>
              </w:rPr>
              <w:t>100</w:t>
            </w:r>
          </w:p>
        </w:tc>
      </w:tr>
    </w:tbl>
    <w:p w:rsidR="00311E63" w:rsidRPr="0061497E" w:rsidRDefault="00311E63">
      <w:pPr>
        <w:rPr>
          <w:lang w:val="id-ID"/>
        </w:rPr>
      </w:pPr>
    </w:p>
    <w:sectPr w:rsidR="00311E63" w:rsidRPr="0061497E" w:rsidSect="00FA23B9">
      <w:pgSz w:w="16840" w:h="11907" w:orient="landscape" w:code="9"/>
      <w:pgMar w:top="1134" w:right="1134" w:bottom="1134" w:left="1134" w:header="96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86" w:rsidRDefault="00E36286" w:rsidP="007F013A">
      <w:r>
        <w:separator/>
      </w:r>
    </w:p>
  </w:endnote>
  <w:endnote w:type="continuationSeparator" w:id="0">
    <w:p w:rsidR="00E36286" w:rsidRDefault="00E36286" w:rsidP="007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86" w:rsidRDefault="00E36286" w:rsidP="007F013A">
      <w:r>
        <w:separator/>
      </w:r>
    </w:p>
  </w:footnote>
  <w:footnote w:type="continuationSeparator" w:id="0">
    <w:p w:rsidR="00E36286" w:rsidRDefault="00E36286" w:rsidP="007F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7E5"/>
    <w:multiLevelType w:val="hybridMultilevel"/>
    <w:tmpl w:val="2240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081F"/>
    <w:multiLevelType w:val="hybridMultilevel"/>
    <w:tmpl w:val="D3AA9C7E"/>
    <w:lvl w:ilvl="0" w:tplc="0421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EEBD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EEC8F9C4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B0D4B"/>
    <w:multiLevelType w:val="hybridMultilevel"/>
    <w:tmpl w:val="D0F2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30CC"/>
    <w:multiLevelType w:val="hybridMultilevel"/>
    <w:tmpl w:val="C012EC1E"/>
    <w:lvl w:ilvl="0" w:tplc="86DAF8BC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0CA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86E6F"/>
    <w:multiLevelType w:val="hybridMultilevel"/>
    <w:tmpl w:val="48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7896"/>
    <w:multiLevelType w:val="hybridMultilevel"/>
    <w:tmpl w:val="CC7E9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5"/>
    <w:rsid w:val="000D2568"/>
    <w:rsid w:val="00154BDC"/>
    <w:rsid w:val="0019237E"/>
    <w:rsid w:val="001A6849"/>
    <w:rsid w:val="0023025F"/>
    <w:rsid w:val="00280A20"/>
    <w:rsid w:val="00281A1B"/>
    <w:rsid w:val="00311E63"/>
    <w:rsid w:val="00431C65"/>
    <w:rsid w:val="00501C5B"/>
    <w:rsid w:val="0061497E"/>
    <w:rsid w:val="006D655E"/>
    <w:rsid w:val="007F013A"/>
    <w:rsid w:val="00A94AEE"/>
    <w:rsid w:val="00AA6EAE"/>
    <w:rsid w:val="00B470A8"/>
    <w:rsid w:val="00B82DE7"/>
    <w:rsid w:val="00BB4B0D"/>
    <w:rsid w:val="00BE1AE0"/>
    <w:rsid w:val="00C75B80"/>
    <w:rsid w:val="00CD3F90"/>
    <w:rsid w:val="00E00A83"/>
    <w:rsid w:val="00E36286"/>
    <w:rsid w:val="00EC0AD9"/>
    <w:rsid w:val="00F64059"/>
    <w:rsid w:val="00F754C3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0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0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2018-02-23T02:02:00Z</dcterms:created>
  <dcterms:modified xsi:type="dcterms:W3CDTF">2018-03-02T15:29:00Z</dcterms:modified>
</cp:coreProperties>
</file>